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3" w:rsidRPr="00807D63" w:rsidRDefault="00807D63" w:rsidP="00807D63">
      <w:pPr>
        <w:widowControl/>
        <w:shd w:val="clear" w:color="auto" w:fill="FFFFFF"/>
        <w:spacing w:before="45" w:after="75" w:line="432" w:lineRule="atLeast"/>
        <w:jc w:val="center"/>
        <w:rPr>
          <w:rFonts w:ascii="微软雅黑" w:eastAsia="微软雅黑" w:hAnsi="微软雅黑" w:cs="宋体"/>
          <w:color w:val="000000"/>
          <w:kern w:val="0"/>
          <w:szCs w:val="21"/>
        </w:rPr>
      </w:pPr>
      <w:r w:rsidRPr="00807D63">
        <w:rPr>
          <w:rFonts w:ascii="宋体" w:eastAsia="宋体" w:hAnsi="宋体" w:cs="宋体" w:hint="eastAsia"/>
          <w:b/>
          <w:bCs/>
          <w:color w:val="FF0000"/>
          <w:spacing w:val="270"/>
          <w:kern w:val="0"/>
          <w:sz w:val="90"/>
          <w:szCs w:val="90"/>
        </w:rPr>
        <w:t>常州大学文件</w:t>
      </w:r>
    </w:p>
    <w:p w:rsidR="00807D63" w:rsidRPr="00807D63" w:rsidRDefault="00807D63" w:rsidP="00807D63">
      <w:pPr>
        <w:widowControl/>
        <w:shd w:val="clear" w:color="auto" w:fill="FFFFFF"/>
        <w:spacing w:before="45" w:after="75" w:line="432" w:lineRule="atLeast"/>
        <w:jc w:val="center"/>
        <w:rPr>
          <w:rFonts w:ascii="微软雅黑" w:eastAsia="微软雅黑" w:hAnsi="微软雅黑" w:cs="宋体" w:hint="eastAsia"/>
          <w:color w:val="000000"/>
          <w:kern w:val="0"/>
          <w:szCs w:val="21"/>
        </w:rPr>
      </w:pPr>
      <w:proofErr w:type="gramStart"/>
      <w:r w:rsidRPr="00807D63">
        <w:rPr>
          <w:rFonts w:ascii="仿宋_GB2312" w:eastAsia="仿宋_GB2312" w:hAnsi="微软雅黑" w:cs="宋体" w:hint="eastAsia"/>
          <w:color w:val="000000"/>
          <w:kern w:val="0"/>
          <w:sz w:val="28"/>
          <w:szCs w:val="28"/>
        </w:rPr>
        <w:t>常大〔</w:t>
      </w:r>
      <w:r w:rsidRPr="00807D63">
        <w:rPr>
          <w:rFonts w:ascii="微软雅黑" w:eastAsia="微软雅黑" w:hAnsi="微软雅黑" w:cs="宋体" w:hint="eastAsia"/>
          <w:color w:val="000000"/>
          <w:kern w:val="0"/>
          <w:sz w:val="28"/>
          <w:szCs w:val="28"/>
        </w:rPr>
        <w:t>2015</w:t>
      </w:r>
      <w:r w:rsidRPr="00807D63">
        <w:rPr>
          <w:rFonts w:ascii="仿宋_GB2312" w:eastAsia="仿宋_GB2312" w:hAnsi="微软雅黑" w:cs="宋体" w:hint="eastAsia"/>
          <w:color w:val="000000"/>
          <w:kern w:val="0"/>
          <w:sz w:val="28"/>
          <w:szCs w:val="28"/>
        </w:rPr>
        <w:t>〕</w:t>
      </w:r>
      <w:proofErr w:type="gramEnd"/>
      <w:r w:rsidRPr="00807D63">
        <w:rPr>
          <w:rFonts w:ascii="微软雅黑" w:eastAsia="微软雅黑" w:hAnsi="微软雅黑" w:cs="宋体" w:hint="eastAsia"/>
          <w:color w:val="000000"/>
          <w:kern w:val="0"/>
          <w:sz w:val="28"/>
          <w:szCs w:val="28"/>
        </w:rPr>
        <w:t>69</w:t>
      </w:r>
      <w:r w:rsidRPr="00807D63">
        <w:rPr>
          <w:rFonts w:ascii="仿宋_GB2312" w:eastAsia="仿宋_GB2312" w:hAnsi="微软雅黑" w:cs="宋体" w:hint="eastAsia"/>
          <w:color w:val="000000"/>
          <w:kern w:val="0"/>
          <w:sz w:val="28"/>
          <w:szCs w:val="28"/>
        </w:rPr>
        <w:t>号</w:t>
      </w:r>
    </w:p>
    <w:p w:rsidR="00807D63" w:rsidRPr="00807D63" w:rsidRDefault="00807D63" w:rsidP="00807D63">
      <w:pPr>
        <w:widowControl/>
        <w:shd w:val="clear" w:color="auto" w:fill="FFFFFF"/>
        <w:jc w:val="center"/>
        <w:rPr>
          <w:rFonts w:ascii="Tahoma" w:eastAsia="微软雅黑" w:hAnsi="Tahoma" w:cs="Tahoma" w:hint="eastAsia"/>
          <w:color w:val="333333"/>
          <w:kern w:val="0"/>
          <w:sz w:val="27"/>
          <w:szCs w:val="27"/>
        </w:rPr>
      </w:pPr>
      <w:r w:rsidRPr="00807D63">
        <w:rPr>
          <w:rFonts w:ascii="Tahoma" w:eastAsia="微软雅黑" w:hAnsi="Tahoma" w:cs="Tahoma"/>
          <w:color w:val="333333"/>
          <w:kern w:val="0"/>
          <w:sz w:val="27"/>
          <w:szCs w:val="27"/>
        </w:rPr>
        <w:pict>
          <v:rect id="_x0000_i1025" style="width:415.3pt;height:3.75pt" o:hralign="center" o:hrstd="t" o:hrnoshade="t" o:hr="t" fillcolor="red" stroked="f"/>
        </w:pict>
      </w:r>
    </w:p>
    <w:p w:rsidR="00807D63" w:rsidRPr="00807D63" w:rsidRDefault="00807D63" w:rsidP="00807D63">
      <w:pPr>
        <w:widowControl/>
        <w:shd w:val="clear" w:color="auto" w:fill="FFFFFF"/>
        <w:spacing w:before="45" w:after="75" w:line="432" w:lineRule="atLeast"/>
        <w:jc w:val="center"/>
        <w:rPr>
          <w:rFonts w:ascii="微软雅黑" w:eastAsia="微软雅黑" w:hAnsi="微软雅黑" w:cs="宋体"/>
          <w:color w:val="000000"/>
          <w:kern w:val="0"/>
          <w:szCs w:val="21"/>
        </w:rPr>
      </w:pPr>
      <w:r w:rsidRPr="00807D63">
        <w:rPr>
          <w:rFonts w:ascii="微软雅黑" w:eastAsia="微软雅黑" w:hAnsi="微软雅黑" w:cs="宋体" w:hint="eastAsia"/>
          <w:color w:val="000000"/>
          <w:kern w:val="0"/>
          <w:szCs w:val="21"/>
        </w:rPr>
        <w:t> </w:t>
      </w:r>
    </w:p>
    <w:p w:rsidR="00807D63" w:rsidRPr="00807D63" w:rsidRDefault="00807D63" w:rsidP="00807D63">
      <w:pPr>
        <w:widowControl/>
        <w:shd w:val="clear" w:color="auto" w:fill="FFFFFF"/>
        <w:spacing w:before="45" w:after="75" w:line="432" w:lineRule="atLeast"/>
        <w:jc w:val="center"/>
        <w:rPr>
          <w:rFonts w:ascii="微软雅黑" w:eastAsia="微软雅黑" w:hAnsi="微软雅黑" w:cs="宋体" w:hint="eastAsia"/>
          <w:color w:val="000000"/>
          <w:kern w:val="0"/>
          <w:szCs w:val="21"/>
        </w:rPr>
      </w:pPr>
      <w:r w:rsidRPr="00807D63">
        <w:rPr>
          <w:rFonts w:ascii="微软雅黑" w:eastAsia="微软雅黑" w:hAnsi="微软雅黑" w:cs="宋体" w:hint="eastAsia"/>
          <w:color w:val="000000"/>
          <w:kern w:val="0"/>
          <w:szCs w:val="21"/>
        </w:rPr>
        <w:t> </w:t>
      </w:r>
    </w:p>
    <w:p w:rsidR="00807D63" w:rsidRPr="00807D63" w:rsidRDefault="00807D63" w:rsidP="00807D63">
      <w:pPr>
        <w:widowControl/>
        <w:shd w:val="clear" w:color="auto" w:fill="FFFFFF"/>
        <w:spacing w:before="45" w:after="75" w:line="432" w:lineRule="atLeast"/>
        <w:jc w:val="center"/>
        <w:rPr>
          <w:rFonts w:ascii="微软雅黑" w:eastAsia="微软雅黑" w:hAnsi="微软雅黑" w:cs="宋体" w:hint="eastAsia"/>
          <w:color w:val="000000"/>
          <w:kern w:val="0"/>
          <w:szCs w:val="21"/>
        </w:rPr>
      </w:pPr>
      <w:r w:rsidRPr="00807D63">
        <w:rPr>
          <w:rFonts w:ascii="文鼎大标宋简" w:eastAsia="文鼎大标宋简" w:hAnsi="微软雅黑" w:cs="宋体" w:hint="eastAsia"/>
          <w:color w:val="000000"/>
          <w:kern w:val="0"/>
          <w:sz w:val="36"/>
          <w:szCs w:val="36"/>
        </w:rPr>
        <w:t>关于印发常州大学科研配套与奖励办法的通知</w:t>
      </w:r>
    </w:p>
    <w:p w:rsidR="00807D63" w:rsidRPr="00807D63" w:rsidRDefault="00807D63" w:rsidP="00807D63">
      <w:pPr>
        <w:widowControl/>
        <w:shd w:val="clear" w:color="auto" w:fill="FFFFFF"/>
        <w:spacing w:before="240" w:after="75" w:line="432" w:lineRule="atLeast"/>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各单位、各部门：</w:t>
      </w:r>
    </w:p>
    <w:p w:rsidR="00807D63" w:rsidRPr="00807D63" w:rsidRDefault="00807D63" w:rsidP="00807D63">
      <w:pPr>
        <w:widowControl/>
        <w:shd w:val="clear" w:color="auto" w:fill="FFFFFF"/>
        <w:spacing w:before="45" w:after="75" w:line="432"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《常州大学科研配套与奖励办法》已经学校研究通过，现印发给你们，请遵照执行。</w:t>
      </w:r>
    </w:p>
    <w:p w:rsidR="00807D63" w:rsidRPr="00807D63" w:rsidRDefault="00807D63" w:rsidP="00807D63">
      <w:pPr>
        <w:widowControl/>
        <w:shd w:val="clear" w:color="auto" w:fill="FFFFFF"/>
        <w:spacing w:before="45" w:after="75" w:line="432"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特此通知</w:t>
      </w:r>
    </w:p>
    <w:p w:rsidR="00807D63" w:rsidRPr="00807D63" w:rsidRDefault="00807D63" w:rsidP="00807D63">
      <w:pPr>
        <w:widowControl/>
        <w:shd w:val="clear" w:color="auto" w:fill="FFFFFF"/>
        <w:spacing w:before="45" w:after="75" w:line="432"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 </w:t>
      </w:r>
    </w:p>
    <w:p w:rsidR="00807D63" w:rsidRPr="00807D63" w:rsidRDefault="00807D63" w:rsidP="00807D63">
      <w:pPr>
        <w:widowControl/>
        <w:shd w:val="clear" w:color="auto" w:fill="FFFFFF"/>
        <w:spacing w:before="45" w:after="75" w:line="432"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 </w:t>
      </w:r>
    </w:p>
    <w:p w:rsidR="00807D63" w:rsidRPr="00807D63" w:rsidRDefault="00807D63" w:rsidP="00807D63">
      <w:pPr>
        <w:widowControl/>
        <w:shd w:val="clear" w:color="auto" w:fill="FFFFFF"/>
        <w:spacing w:before="45" w:after="75" w:line="432"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 </w:t>
      </w:r>
    </w:p>
    <w:p w:rsidR="00807D63" w:rsidRPr="00807D63" w:rsidRDefault="00807D63" w:rsidP="00807D63">
      <w:pPr>
        <w:widowControl/>
        <w:shd w:val="clear" w:color="auto" w:fill="FFFFFF"/>
        <w:spacing w:before="45" w:after="75" w:line="432" w:lineRule="atLeast"/>
        <w:ind w:firstLine="672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常州大学</w:t>
      </w:r>
    </w:p>
    <w:p w:rsidR="00807D63" w:rsidRPr="00807D63" w:rsidRDefault="00807D63" w:rsidP="00807D63">
      <w:pPr>
        <w:widowControl/>
        <w:shd w:val="clear" w:color="auto" w:fill="FFFFFF"/>
        <w:spacing w:before="45" w:after="75" w:line="432" w:lineRule="atLeast"/>
        <w:ind w:firstLine="62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2015年5月18日</w:t>
      </w:r>
    </w:p>
    <w:p w:rsidR="00807D63" w:rsidRPr="00807D63" w:rsidRDefault="00807D63" w:rsidP="00807D63">
      <w:pPr>
        <w:widowControl/>
        <w:shd w:val="clear" w:color="auto" w:fill="FFFFFF"/>
        <w:spacing w:before="45" w:after="75" w:line="432" w:lineRule="atLeast"/>
        <w:ind w:firstLine="62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 </w:t>
      </w:r>
    </w:p>
    <w:p w:rsidR="00807D63" w:rsidRPr="00807D63" w:rsidRDefault="00807D63" w:rsidP="00807D63">
      <w:pPr>
        <w:widowControl/>
        <w:shd w:val="clear" w:color="auto" w:fill="FFFFFF"/>
        <w:spacing w:before="45" w:after="75" w:line="242" w:lineRule="atLeast"/>
        <w:ind w:firstLine="720"/>
        <w:jc w:val="center"/>
        <w:rPr>
          <w:rFonts w:ascii="微软雅黑" w:eastAsia="微软雅黑" w:hAnsi="微软雅黑" w:cs="宋体" w:hint="eastAsia"/>
          <w:color w:val="000000"/>
          <w:kern w:val="0"/>
          <w:szCs w:val="21"/>
        </w:rPr>
      </w:pPr>
      <w:bookmarkStart w:id="0" w:name="_GoBack"/>
      <w:r w:rsidRPr="00807D63">
        <w:rPr>
          <w:rFonts w:ascii="文鼎大标宋简" w:eastAsia="文鼎大标宋简" w:hAnsi="微软雅黑" w:cs="宋体" w:hint="eastAsia"/>
          <w:color w:val="000000"/>
          <w:kern w:val="0"/>
          <w:sz w:val="36"/>
          <w:szCs w:val="36"/>
        </w:rPr>
        <w:lastRenderedPageBreak/>
        <w:t>常州大学科研配套与奖励办法</w:t>
      </w:r>
      <w:bookmarkEnd w:id="0"/>
    </w:p>
    <w:p w:rsidR="00807D63" w:rsidRPr="00807D63" w:rsidRDefault="00807D63" w:rsidP="00807D63">
      <w:pPr>
        <w:widowControl/>
        <w:shd w:val="clear" w:color="auto" w:fill="FFFFFF"/>
        <w:spacing w:before="120" w:after="120" w:line="480" w:lineRule="atLeast"/>
        <w:ind w:left="1877" w:hanging="1276"/>
        <w:jc w:val="center"/>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第一章</w:t>
      </w:r>
      <w:r w:rsidRPr="00807D63">
        <w:rPr>
          <w:rFonts w:ascii="Times New Roman" w:eastAsia="黑体" w:hAnsi="Times New Roman" w:cs="Times New Roman"/>
          <w:color w:val="000000"/>
          <w:kern w:val="0"/>
          <w:sz w:val="14"/>
          <w:szCs w:val="14"/>
        </w:rPr>
        <w:t>     </w:t>
      </w:r>
      <w:r w:rsidRPr="00807D63">
        <w:rPr>
          <w:rFonts w:ascii="宋体" w:eastAsia="宋体" w:hAnsi="宋体" w:cs="宋体" w:hint="eastAsia"/>
          <w:color w:val="000000"/>
          <w:kern w:val="0"/>
          <w:sz w:val="32"/>
          <w:szCs w:val="32"/>
        </w:rPr>
        <w:t>  </w:t>
      </w:r>
      <w:r w:rsidRPr="00807D63">
        <w:rPr>
          <w:rFonts w:ascii="黑体" w:eastAsia="黑体" w:hAnsi="黑体" w:cs="宋体" w:hint="eastAsia"/>
          <w:color w:val="000000"/>
          <w:kern w:val="0"/>
          <w:sz w:val="32"/>
          <w:szCs w:val="32"/>
        </w:rPr>
        <w:t>总</w:t>
      </w:r>
      <w:r w:rsidRPr="00807D63">
        <w:rPr>
          <w:rFonts w:ascii="宋体" w:eastAsia="宋体" w:hAnsi="宋体" w:cs="宋体" w:hint="eastAsia"/>
          <w:color w:val="000000"/>
          <w:kern w:val="0"/>
          <w:sz w:val="32"/>
          <w:szCs w:val="32"/>
        </w:rPr>
        <w:t>  </w:t>
      </w:r>
      <w:r w:rsidRPr="00807D63">
        <w:rPr>
          <w:rFonts w:ascii="黑体" w:eastAsia="黑体" w:hAnsi="黑体" w:cs="宋体" w:hint="eastAsia"/>
          <w:color w:val="000000"/>
          <w:kern w:val="0"/>
          <w:sz w:val="32"/>
          <w:szCs w:val="32"/>
        </w:rPr>
        <w:t>则</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第一条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为了进一步提高学校科学研究水平，秉承有效科研、注重主流、突出高端的理念，结合我校实际情况，特制定本办法。</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第二条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科研项目与成果以科研业绩分（依据《常州大学科研业绩分计算办法》常大</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号文件核定）为依据进行配套、奖励。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第三条</w:t>
      </w:r>
      <w:r w:rsidRPr="00807D63">
        <w:rPr>
          <w:rFonts w:ascii="宋体" w:eastAsia="宋体" w:hAnsi="宋体" w:cs="宋体" w:hint="eastAsia"/>
          <w:color w:val="000000"/>
          <w:kern w:val="0"/>
          <w:sz w:val="32"/>
          <w:szCs w:val="32"/>
        </w:rPr>
        <w:t> </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配套奖励以项目、成果为对象，具体拆分由负责人根据贡献大小决定。</w:t>
      </w:r>
    </w:p>
    <w:p w:rsidR="00807D63" w:rsidRPr="00807D63" w:rsidRDefault="00807D63" w:rsidP="00807D63">
      <w:pPr>
        <w:widowControl/>
        <w:shd w:val="clear" w:color="auto" w:fill="FFFFFF"/>
        <w:spacing w:before="120" w:after="120" w:line="520" w:lineRule="atLeast"/>
        <w:ind w:left="1877" w:hanging="1275"/>
        <w:jc w:val="center"/>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第二章</w:t>
      </w:r>
      <w:r w:rsidRPr="00807D63">
        <w:rPr>
          <w:rFonts w:ascii="Times New Roman" w:eastAsia="黑体" w:hAnsi="Times New Roman" w:cs="Times New Roman"/>
          <w:color w:val="000000"/>
          <w:kern w:val="0"/>
          <w:sz w:val="14"/>
          <w:szCs w:val="14"/>
        </w:rPr>
        <w:t>     </w:t>
      </w:r>
      <w:r w:rsidRPr="00807D63">
        <w:rPr>
          <w:rFonts w:ascii="宋体" w:eastAsia="宋体" w:hAnsi="宋体" w:cs="宋体" w:hint="eastAsia"/>
          <w:color w:val="000000"/>
          <w:kern w:val="0"/>
          <w:sz w:val="32"/>
          <w:szCs w:val="32"/>
        </w:rPr>
        <w:t>  </w:t>
      </w:r>
      <w:r w:rsidRPr="00807D63">
        <w:rPr>
          <w:rFonts w:ascii="黑体" w:eastAsia="黑体" w:hAnsi="黑体" w:cs="宋体" w:hint="eastAsia"/>
          <w:color w:val="000000"/>
          <w:kern w:val="0"/>
          <w:sz w:val="32"/>
          <w:szCs w:val="32"/>
        </w:rPr>
        <w:t>重要纵向科研项目奖励与配套</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第四条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重要纵向科研项目奖励与配套</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重要纵向科研项目奖励与配套标准按照表1执行。</w:t>
      </w:r>
    </w:p>
    <w:p w:rsidR="00807D63" w:rsidRPr="00807D63" w:rsidRDefault="00807D63" w:rsidP="00807D63">
      <w:pPr>
        <w:widowControl/>
        <w:shd w:val="clear" w:color="auto" w:fill="FFFFFF"/>
        <w:spacing w:before="45" w:after="120" w:line="520" w:lineRule="atLeast"/>
        <w:ind w:firstLine="640"/>
        <w:jc w:val="center"/>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表1.</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纵向科研项目配套标准</w:t>
      </w:r>
    </w:p>
    <w:tbl>
      <w:tblPr>
        <w:tblW w:w="9287" w:type="dxa"/>
        <w:jc w:val="center"/>
        <w:tblCellMar>
          <w:left w:w="0" w:type="dxa"/>
          <w:right w:w="0" w:type="dxa"/>
        </w:tblCellMar>
        <w:tblLook w:val="04A0" w:firstRow="1" w:lastRow="0" w:firstColumn="1" w:lastColumn="0" w:noHBand="0" w:noVBand="1"/>
      </w:tblPr>
      <w:tblGrid>
        <w:gridCol w:w="1908"/>
        <w:gridCol w:w="2952"/>
        <w:gridCol w:w="4427"/>
      </w:tblGrid>
      <w:tr w:rsidR="00807D63" w:rsidRPr="00807D63" w:rsidTr="00807D63">
        <w:trPr>
          <w:trHeight w:val="449"/>
          <w:jc w:val="center"/>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项目级别</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配套与奖励标准</w:t>
            </w:r>
          </w:p>
        </w:tc>
        <w:tc>
          <w:tcPr>
            <w:tcW w:w="4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备注</w:t>
            </w:r>
          </w:p>
        </w:tc>
      </w:tr>
      <w:tr w:rsidR="00807D63" w:rsidRPr="00807D63" w:rsidTr="00807D63">
        <w:trPr>
          <w:trHeight w:val="449"/>
          <w:jc w:val="center"/>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国家级项目</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项目组:按业绩分45％计算奖励与配套总额</w:t>
            </w:r>
          </w:p>
        </w:tc>
        <w:tc>
          <w:tcPr>
            <w:tcW w:w="4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奖励与配套总额最高不超过100万元，配套部分按照财务制度使用。</w:t>
            </w:r>
          </w:p>
        </w:tc>
      </w:tr>
      <w:tr w:rsidR="00807D63" w:rsidRPr="00807D63" w:rsidTr="00807D63">
        <w:trPr>
          <w:trHeight w:val="1089"/>
          <w:jc w:val="center"/>
        </w:trPr>
        <w:tc>
          <w:tcPr>
            <w:tcW w:w="0" w:type="auto"/>
            <w:vMerge/>
            <w:tcBorders>
              <w:top w:val="nil"/>
              <w:left w:val="single" w:sz="8" w:space="0" w:color="auto"/>
              <w:bottom w:val="single" w:sz="8" w:space="0" w:color="auto"/>
              <w:right w:val="single" w:sz="8" w:space="0" w:color="auto"/>
            </w:tcBorders>
            <w:vAlign w:val="center"/>
            <w:hideMark/>
          </w:tcPr>
          <w:p w:rsidR="00807D63" w:rsidRPr="00807D63" w:rsidRDefault="00807D63" w:rsidP="00807D63">
            <w:pPr>
              <w:widowControl/>
              <w:jc w:val="left"/>
              <w:rPr>
                <w:rFonts w:ascii="微软雅黑" w:eastAsia="微软雅黑" w:hAnsi="微软雅黑" w:cs="宋体"/>
                <w:kern w:val="0"/>
                <w:szCs w:val="21"/>
              </w:rPr>
            </w:pPr>
          </w:p>
        </w:tc>
        <w:tc>
          <w:tcPr>
            <w:tcW w:w="73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管理单位：按业绩分10％配套科研专项经费，其中70％由项目所在单位使用</w:t>
            </w:r>
          </w:p>
        </w:tc>
      </w:tr>
      <w:tr w:rsidR="00807D63" w:rsidRPr="00807D63" w:rsidTr="00807D63">
        <w:trPr>
          <w:trHeight w:val="1089"/>
          <w:jc w:val="center"/>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lastRenderedPageBreak/>
              <w:t>省部级项目</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项目组:按业绩分25％计算奖励与配套总额</w:t>
            </w:r>
          </w:p>
        </w:tc>
        <w:tc>
          <w:tcPr>
            <w:tcW w:w="4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奖励与配套总额最高不超过15万元，配套部分按照财务制度使用</w:t>
            </w:r>
          </w:p>
        </w:tc>
      </w:tr>
      <w:tr w:rsidR="00807D63" w:rsidRPr="00807D63" w:rsidTr="00807D63">
        <w:trPr>
          <w:trHeight w:val="434"/>
          <w:jc w:val="center"/>
        </w:trPr>
        <w:tc>
          <w:tcPr>
            <w:tcW w:w="0" w:type="auto"/>
            <w:vMerge/>
            <w:tcBorders>
              <w:top w:val="nil"/>
              <w:left w:val="single" w:sz="8" w:space="0" w:color="auto"/>
              <w:bottom w:val="single" w:sz="8" w:space="0" w:color="auto"/>
              <w:right w:val="single" w:sz="8" w:space="0" w:color="auto"/>
            </w:tcBorders>
            <w:vAlign w:val="center"/>
            <w:hideMark/>
          </w:tcPr>
          <w:p w:rsidR="00807D63" w:rsidRPr="00807D63" w:rsidRDefault="00807D63" w:rsidP="00807D63">
            <w:pPr>
              <w:widowControl/>
              <w:jc w:val="left"/>
              <w:rPr>
                <w:rFonts w:ascii="微软雅黑" w:eastAsia="微软雅黑" w:hAnsi="微软雅黑" w:cs="宋体"/>
                <w:kern w:val="0"/>
                <w:szCs w:val="21"/>
              </w:rPr>
            </w:pPr>
          </w:p>
        </w:tc>
        <w:tc>
          <w:tcPr>
            <w:tcW w:w="73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left"/>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项目所在单位：按业绩分5％配套科研专项经费</w:t>
            </w:r>
          </w:p>
        </w:tc>
      </w:tr>
    </w:tbl>
    <w:p w:rsidR="00807D63" w:rsidRPr="00807D63" w:rsidRDefault="00807D63" w:rsidP="00807D63">
      <w:pPr>
        <w:widowControl/>
        <w:shd w:val="clear" w:color="auto" w:fill="FFFFFF"/>
        <w:spacing w:before="120"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注：①项目</w:t>
      </w:r>
      <w:proofErr w:type="gramStart"/>
      <w:r w:rsidRPr="00807D63">
        <w:rPr>
          <w:rFonts w:ascii="仿宋_GB2312" w:eastAsia="仿宋_GB2312" w:hAnsi="微软雅黑" w:cs="宋体" w:hint="eastAsia"/>
          <w:color w:val="000000"/>
          <w:kern w:val="0"/>
          <w:sz w:val="32"/>
          <w:szCs w:val="32"/>
        </w:rPr>
        <w:t>组配套</w:t>
      </w:r>
      <w:proofErr w:type="gramEnd"/>
      <w:r w:rsidRPr="00807D63">
        <w:rPr>
          <w:rFonts w:ascii="仿宋_GB2312" w:eastAsia="仿宋_GB2312" w:hAnsi="微软雅黑" w:cs="宋体" w:hint="eastAsia"/>
          <w:color w:val="000000"/>
          <w:kern w:val="0"/>
          <w:sz w:val="32"/>
          <w:szCs w:val="32"/>
        </w:rPr>
        <w:t>与奖励总额中70%发放奖金，30%配套经费。</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②常州大学不是第一完成单位的科研项目的奖励按照同类项目的一半执行。</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第五条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重大横向科研项目配套</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为了鼓励组织和承担重大横向项目，培育重大应用型科技成果，学校对重大横向项目给予经费配套，具体标准见表2。</w:t>
      </w:r>
    </w:p>
    <w:p w:rsidR="00807D63" w:rsidRPr="00807D63" w:rsidRDefault="00807D63" w:rsidP="00807D63">
      <w:pPr>
        <w:widowControl/>
        <w:shd w:val="clear" w:color="auto" w:fill="FFFFFF"/>
        <w:spacing w:before="45" w:after="120" w:line="520" w:lineRule="atLeast"/>
        <w:ind w:firstLine="640"/>
        <w:jc w:val="center"/>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表2.</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重大横向项目经费配套</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单位：万元</w:t>
      </w:r>
    </w:p>
    <w:tbl>
      <w:tblPr>
        <w:tblW w:w="0" w:type="auto"/>
        <w:jc w:val="center"/>
        <w:tblCellMar>
          <w:left w:w="0" w:type="dxa"/>
          <w:right w:w="0" w:type="dxa"/>
        </w:tblCellMar>
        <w:tblLook w:val="04A0" w:firstRow="1" w:lastRow="0" w:firstColumn="1" w:lastColumn="0" w:noHBand="0" w:noVBand="1"/>
      </w:tblPr>
      <w:tblGrid>
        <w:gridCol w:w="2028"/>
        <w:gridCol w:w="2248"/>
        <w:gridCol w:w="1808"/>
      </w:tblGrid>
      <w:tr w:rsidR="00807D63" w:rsidRPr="00807D63" w:rsidTr="00807D63">
        <w:trPr>
          <w:trHeight w:val="434"/>
          <w:jc w:val="center"/>
        </w:trPr>
        <w:tc>
          <w:tcPr>
            <w:tcW w:w="20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学科类别</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项目当年到款E</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配套额度</w:t>
            </w:r>
          </w:p>
        </w:tc>
      </w:tr>
      <w:tr w:rsidR="00807D63" w:rsidRPr="00807D63" w:rsidTr="00807D63">
        <w:trPr>
          <w:trHeight w:val="450"/>
          <w:jc w:val="center"/>
        </w:trPr>
        <w:tc>
          <w:tcPr>
            <w:tcW w:w="20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理工类</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50≤E&lt;100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1</w:t>
            </w:r>
          </w:p>
        </w:tc>
      </w:tr>
      <w:tr w:rsidR="00807D63" w:rsidRPr="00807D63" w:rsidTr="00807D63">
        <w:trPr>
          <w:trHeight w:val="545"/>
          <w:jc w:val="center"/>
        </w:trPr>
        <w:tc>
          <w:tcPr>
            <w:tcW w:w="0" w:type="auto"/>
            <w:vMerge/>
            <w:tcBorders>
              <w:top w:val="nil"/>
              <w:left w:val="single" w:sz="8" w:space="0" w:color="auto"/>
              <w:bottom w:val="single" w:sz="8" w:space="0" w:color="auto"/>
              <w:right w:val="single" w:sz="8" w:space="0" w:color="auto"/>
            </w:tcBorders>
            <w:vAlign w:val="center"/>
            <w:hideMark/>
          </w:tcPr>
          <w:p w:rsidR="00807D63" w:rsidRPr="00807D63" w:rsidRDefault="00807D63" w:rsidP="00807D63">
            <w:pPr>
              <w:widowControl/>
              <w:jc w:val="left"/>
              <w:rPr>
                <w:rFonts w:ascii="微软雅黑" w:eastAsia="微软雅黑" w:hAnsi="微软雅黑" w:cs="宋体"/>
                <w:kern w:val="0"/>
                <w:szCs w:val="21"/>
              </w:rPr>
            </w:pP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E≥100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2</w:t>
            </w:r>
          </w:p>
        </w:tc>
      </w:tr>
      <w:tr w:rsidR="00807D63" w:rsidRPr="00807D63" w:rsidTr="00807D63">
        <w:trPr>
          <w:trHeight w:val="434"/>
          <w:jc w:val="center"/>
        </w:trPr>
        <w:tc>
          <w:tcPr>
            <w:tcW w:w="20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人文社科</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40≤E&lt;60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1</w:t>
            </w:r>
          </w:p>
        </w:tc>
      </w:tr>
      <w:tr w:rsidR="00807D63" w:rsidRPr="00807D63" w:rsidTr="00807D63">
        <w:trPr>
          <w:trHeight w:val="473"/>
          <w:jc w:val="center"/>
        </w:trPr>
        <w:tc>
          <w:tcPr>
            <w:tcW w:w="0" w:type="auto"/>
            <w:vMerge/>
            <w:tcBorders>
              <w:top w:val="nil"/>
              <w:left w:val="single" w:sz="8" w:space="0" w:color="auto"/>
              <w:bottom w:val="single" w:sz="8" w:space="0" w:color="auto"/>
              <w:right w:val="single" w:sz="8" w:space="0" w:color="auto"/>
            </w:tcBorders>
            <w:vAlign w:val="center"/>
            <w:hideMark/>
          </w:tcPr>
          <w:p w:rsidR="00807D63" w:rsidRPr="00807D63" w:rsidRDefault="00807D63" w:rsidP="00807D63">
            <w:pPr>
              <w:widowControl/>
              <w:jc w:val="left"/>
              <w:rPr>
                <w:rFonts w:ascii="微软雅黑" w:eastAsia="微软雅黑" w:hAnsi="微软雅黑" w:cs="宋体"/>
                <w:kern w:val="0"/>
                <w:szCs w:val="21"/>
              </w:rPr>
            </w:pP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E≥60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D63" w:rsidRPr="00807D63" w:rsidRDefault="00807D63" w:rsidP="00807D63">
            <w:pPr>
              <w:widowControl/>
              <w:wordWrap w:val="0"/>
              <w:spacing w:before="45" w:after="75" w:line="520" w:lineRule="atLeast"/>
              <w:jc w:val="center"/>
              <w:rPr>
                <w:rFonts w:ascii="微软雅黑" w:eastAsia="微软雅黑" w:hAnsi="微软雅黑" w:cs="宋体"/>
                <w:kern w:val="0"/>
                <w:szCs w:val="21"/>
              </w:rPr>
            </w:pPr>
            <w:r w:rsidRPr="00807D63">
              <w:rPr>
                <w:rFonts w:ascii="仿宋_GB2312" w:eastAsia="仿宋_GB2312" w:hAnsi="微软雅黑" w:cs="宋体" w:hint="eastAsia"/>
                <w:kern w:val="0"/>
                <w:sz w:val="32"/>
                <w:szCs w:val="32"/>
              </w:rPr>
              <w:t>2</w:t>
            </w:r>
          </w:p>
        </w:tc>
      </w:tr>
    </w:tbl>
    <w:p w:rsidR="00807D63" w:rsidRPr="00807D63" w:rsidRDefault="00807D63" w:rsidP="00807D63">
      <w:pPr>
        <w:widowControl/>
        <w:shd w:val="clear" w:color="auto" w:fill="FFFFFF"/>
        <w:spacing w:before="120"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lastRenderedPageBreak/>
        <w:t>第六条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重要平台建设项目专项奖励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（一）重要平台建设项目是指以常州大学为第一单位立项建设的省部级（含省部级）以上各类科研平台（各类平台为：重点（工程）实验室、研究基地和研究中心）。科技部、</w:t>
      </w:r>
      <w:proofErr w:type="gramStart"/>
      <w:r w:rsidRPr="00807D63">
        <w:rPr>
          <w:rFonts w:ascii="仿宋_GB2312" w:eastAsia="仿宋_GB2312" w:hAnsi="微软雅黑" w:cs="宋体" w:hint="eastAsia"/>
          <w:color w:val="000000"/>
          <w:kern w:val="0"/>
          <w:sz w:val="32"/>
          <w:szCs w:val="32"/>
        </w:rPr>
        <w:t>国家发改委</w:t>
      </w:r>
      <w:proofErr w:type="gramEnd"/>
      <w:r w:rsidRPr="00807D63">
        <w:rPr>
          <w:rFonts w:ascii="仿宋_GB2312" w:eastAsia="仿宋_GB2312" w:hAnsi="微软雅黑" w:cs="宋体" w:hint="eastAsia"/>
          <w:color w:val="000000"/>
          <w:kern w:val="0"/>
          <w:sz w:val="32"/>
          <w:szCs w:val="32"/>
        </w:rPr>
        <w:t>、教育部人文社科类等科研平台建设项目按国家科技进步二等奖标准奖励，江苏省科技厅、教育部、江苏省教育厅人文社科类及其它部委科研平台建设项目按省科学技术一等奖标准奖励，江苏省教育厅科研平台建设项目按江苏省科技进步二等奖标准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（二）其它省部级及以上政府类科研平台级别由学校相应管理部门或学术机构认定后给予奖励。上述专项奖励由平台所在单位根据贡献大小予以奖励。</w:t>
      </w:r>
    </w:p>
    <w:p w:rsidR="00807D63" w:rsidRPr="00807D63" w:rsidRDefault="00807D63" w:rsidP="00807D63">
      <w:pPr>
        <w:widowControl/>
        <w:shd w:val="clear" w:color="auto" w:fill="FFFFFF"/>
        <w:spacing w:before="120" w:after="120" w:line="520" w:lineRule="atLeast"/>
        <w:ind w:left="1877" w:hanging="1275"/>
        <w:jc w:val="center"/>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第三章</w:t>
      </w:r>
      <w:r w:rsidRPr="00807D63">
        <w:rPr>
          <w:rFonts w:ascii="Times New Roman" w:eastAsia="黑体" w:hAnsi="Times New Roman" w:cs="Times New Roman"/>
          <w:color w:val="000000"/>
          <w:kern w:val="0"/>
          <w:sz w:val="14"/>
          <w:szCs w:val="14"/>
        </w:rPr>
        <w:t>     </w:t>
      </w:r>
      <w:r w:rsidRPr="00807D63">
        <w:rPr>
          <w:rFonts w:ascii="黑体" w:eastAsia="黑体" w:hAnsi="黑体" w:cs="宋体" w:hint="eastAsia"/>
          <w:color w:val="000000"/>
          <w:kern w:val="0"/>
          <w:sz w:val="32"/>
          <w:szCs w:val="32"/>
        </w:rPr>
        <w:t>科研成果奖励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第七条</w:t>
      </w:r>
      <w:r w:rsidRPr="00807D63">
        <w:rPr>
          <w:rFonts w:ascii="宋体" w:eastAsia="宋体" w:hAnsi="宋体" w:cs="宋体" w:hint="eastAsia"/>
          <w:color w:val="000000"/>
          <w:kern w:val="0"/>
          <w:sz w:val="32"/>
          <w:szCs w:val="32"/>
        </w:rPr>
        <w:t> </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论文奖励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（一）理工科奖励在</w:t>
      </w:r>
      <w:r w:rsidRPr="00807D63">
        <w:rPr>
          <w:rFonts w:ascii="微软雅黑" w:eastAsia="微软雅黑" w:hAnsi="微软雅黑" w:cs="宋体" w:hint="eastAsia"/>
          <w:color w:val="000000"/>
          <w:kern w:val="0"/>
          <w:sz w:val="32"/>
          <w:szCs w:val="32"/>
        </w:rPr>
        <w:t>Science</w:t>
      </w:r>
      <w:r w:rsidRPr="00807D63">
        <w:rPr>
          <w:rFonts w:ascii="仿宋_GB2312" w:eastAsia="仿宋_GB2312" w:hAnsi="微软雅黑" w:cs="宋体" w:hint="eastAsia"/>
          <w:color w:val="000000"/>
          <w:kern w:val="0"/>
          <w:sz w:val="32"/>
          <w:szCs w:val="32"/>
        </w:rPr>
        <w:t>、</w:t>
      </w:r>
      <w:r w:rsidRPr="00807D63">
        <w:rPr>
          <w:rFonts w:ascii="微软雅黑" w:eastAsia="微软雅黑" w:hAnsi="微软雅黑" w:cs="宋体" w:hint="eastAsia"/>
          <w:color w:val="000000"/>
          <w:kern w:val="0"/>
          <w:sz w:val="32"/>
          <w:szCs w:val="32"/>
        </w:rPr>
        <w:t>Nature</w:t>
      </w:r>
      <w:r w:rsidRPr="00807D63">
        <w:rPr>
          <w:rFonts w:ascii="仿宋_GB2312" w:eastAsia="仿宋_GB2312" w:hAnsi="微软雅黑" w:cs="宋体" w:hint="eastAsia"/>
          <w:color w:val="000000"/>
          <w:kern w:val="0"/>
          <w:sz w:val="32"/>
          <w:szCs w:val="32"/>
        </w:rPr>
        <w:t>、</w:t>
      </w:r>
      <w:r w:rsidRPr="00807D63">
        <w:rPr>
          <w:rFonts w:ascii="微软雅黑" w:eastAsia="微软雅黑" w:hAnsi="微软雅黑" w:cs="宋体" w:hint="eastAsia"/>
          <w:color w:val="000000"/>
          <w:kern w:val="0"/>
          <w:sz w:val="32"/>
          <w:szCs w:val="32"/>
        </w:rPr>
        <w:t>Cell</w:t>
      </w:r>
      <w:r w:rsidRPr="00807D63">
        <w:rPr>
          <w:rFonts w:ascii="仿宋_GB2312" w:eastAsia="仿宋_GB2312" w:hAnsi="微软雅黑" w:cs="宋体" w:hint="eastAsia"/>
          <w:color w:val="000000"/>
          <w:kern w:val="0"/>
          <w:sz w:val="32"/>
          <w:szCs w:val="32"/>
        </w:rPr>
        <w:t>、《中国科学》、《科学通报》、《常州大学学报》（自然版）以及校内指定理工科重要期刊、中文核心期刊、SCD源期刊上发表的论文，SCI、EI（JA）收录，SCI他引及在三大检索期刊中引用近二年常州大学学报的论文、中国科学引文索引（CSCD）、中国科技论文与引文数据库（CSTPC）收录的论文。</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lastRenderedPageBreak/>
        <w:t>（二）人文社科奖励A、B、C、D、F类论文。</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第八条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论著奖励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奖励入选国家社科基金成果文库的专著、外文出版的学术性专著、中文出版的学术性专著、学术性译著。一般译著、学术性编著、专业手册只奖励第一作者为副高（含副高）以下职称人员。</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第九条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科研成果鉴定奖励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省部级以上（含省部级）鉴定在申报省部级成果奖当年兑现奖励。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第十条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科研成果报奖、省部级及以上成果获奖、“五个一”工程奖、国家图书奖、专利、艺术类非文字成果、文艺作品等均按业绩分奖励。其它国际类学术奖，由学校相应管理部门或学术机构认定后予以奖励。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黑体" w:eastAsia="黑体" w:hAnsi="黑体" w:cs="宋体" w:hint="eastAsia"/>
          <w:color w:val="000000"/>
          <w:kern w:val="0"/>
          <w:sz w:val="32"/>
          <w:szCs w:val="32"/>
        </w:rPr>
        <w:t>第十一条</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特殊贡献奖</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对我校职工为第一作者、常州大学为第一单位，在</w:t>
      </w:r>
      <w:r w:rsidRPr="00807D63">
        <w:rPr>
          <w:rFonts w:ascii="仿宋_GB2312" w:eastAsia="仿宋_GB2312" w:hAnsi="微软雅黑" w:cs="宋体" w:hint="eastAsia"/>
          <w:color w:val="FF0000"/>
          <w:kern w:val="0"/>
          <w:sz w:val="32"/>
          <w:szCs w:val="32"/>
        </w:rPr>
        <w:t>《</w:t>
      </w:r>
      <w:r w:rsidRPr="00807D63">
        <w:rPr>
          <w:rFonts w:ascii="仿宋_GB2312" w:eastAsia="仿宋_GB2312" w:hAnsi="微软雅黑" w:cs="宋体" w:hint="eastAsia"/>
          <w:color w:val="000000"/>
          <w:kern w:val="0"/>
          <w:sz w:val="32"/>
          <w:szCs w:val="32"/>
        </w:rPr>
        <w:t>中国社会科学》发表的论文、被《新华文摘》、《中国社会科学文摘》全文转载的理论性文章（3000字以上）、被国家社科基金《成果要报》采用的论文或成果以及在</w:t>
      </w:r>
      <w:r w:rsidRPr="00807D63">
        <w:rPr>
          <w:rFonts w:ascii="微软雅黑" w:eastAsia="微软雅黑" w:hAnsi="微软雅黑" w:cs="宋体" w:hint="eastAsia"/>
          <w:color w:val="000000"/>
          <w:kern w:val="0"/>
          <w:sz w:val="32"/>
          <w:szCs w:val="32"/>
        </w:rPr>
        <w:t>Nature Index</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遴选的68种国际期刊上发表的论文，学校设立特殊贡献奖。奖励办法如下：</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lastRenderedPageBreak/>
        <w:t>（一）在《中国社会科学》发表的论文、被《新华文摘》、《中国社会科学文摘》全文转载的理论性文章（3000字以上）、被国家社科基金《成果要报》采用的论文或成果，每篇按照A类论文当年奖励额度的2倍作为特殊奖励。</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（二）在</w:t>
      </w:r>
      <w:r w:rsidRPr="00807D63">
        <w:rPr>
          <w:rFonts w:ascii="微软雅黑" w:eastAsia="微软雅黑" w:hAnsi="微软雅黑" w:cs="宋体" w:hint="eastAsia"/>
          <w:color w:val="000000"/>
          <w:kern w:val="0"/>
          <w:sz w:val="32"/>
          <w:szCs w:val="32"/>
        </w:rPr>
        <w:t>Nature Index</w:t>
      </w:r>
      <w:r w:rsidRPr="00807D63">
        <w:rPr>
          <w:rFonts w:ascii="仿宋_GB2312" w:eastAsia="仿宋_GB2312" w:hAnsi="微软雅黑" w:cs="宋体" w:hint="eastAsia"/>
          <w:color w:val="000000"/>
          <w:kern w:val="0"/>
          <w:sz w:val="32"/>
          <w:szCs w:val="32"/>
        </w:rPr>
        <w:t> </w:t>
      </w:r>
      <w:r w:rsidRPr="00807D63">
        <w:rPr>
          <w:rFonts w:ascii="仿宋_GB2312" w:eastAsia="仿宋_GB2312" w:hAnsi="微软雅黑" w:cs="宋体" w:hint="eastAsia"/>
          <w:color w:val="000000"/>
          <w:kern w:val="0"/>
          <w:sz w:val="32"/>
          <w:szCs w:val="32"/>
        </w:rPr>
        <w:t>遴选的68种国际期刊上发表的论文，根据当年</w:t>
      </w:r>
      <w:r w:rsidRPr="00807D63">
        <w:rPr>
          <w:rFonts w:ascii="微软雅黑" w:eastAsia="微软雅黑" w:hAnsi="微软雅黑" w:cs="宋体" w:hint="eastAsia"/>
          <w:color w:val="000000"/>
          <w:kern w:val="0"/>
          <w:sz w:val="32"/>
          <w:szCs w:val="32"/>
        </w:rPr>
        <w:t>Nature Index</w:t>
      </w:r>
      <w:r w:rsidRPr="00807D63">
        <w:rPr>
          <w:rFonts w:ascii="仿宋_GB2312" w:eastAsia="仿宋_GB2312" w:hAnsi="微软雅黑" w:cs="宋体" w:hint="eastAsia"/>
          <w:color w:val="000000"/>
          <w:kern w:val="0"/>
          <w:sz w:val="32"/>
          <w:szCs w:val="32"/>
        </w:rPr>
        <w:t>公布的WFC数值，每个分值按照学校当年一区论文奖励额度的2倍作为特殊奖励，并按照</w:t>
      </w:r>
      <w:r w:rsidRPr="00807D63">
        <w:rPr>
          <w:rFonts w:ascii="微软雅黑" w:eastAsia="微软雅黑" w:hAnsi="微软雅黑" w:cs="宋体" w:hint="eastAsia"/>
          <w:color w:val="000000"/>
          <w:kern w:val="0"/>
          <w:sz w:val="32"/>
          <w:szCs w:val="32"/>
        </w:rPr>
        <w:t>Nature Index</w:t>
      </w:r>
      <w:r w:rsidRPr="00807D63">
        <w:rPr>
          <w:rFonts w:ascii="仿宋_GB2312" w:eastAsia="仿宋_GB2312" w:hAnsi="微软雅黑" w:cs="宋体" w:hint="eastAsia"/>
          <w:color w:val="000000"/>
          <w:kern w:val="0"/>
          <w:sz w:val="32"/>
          <w:szCs w:val="32"/>
        </w:rPr>
        <w:t>中WFC积分办法拆分给相关作者。</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（三）按照奖励总额的10%作为特殊奖励，奖励作者所在单位。</w:t>
      </w:r>
    </w:p>
    <w:p w:rsidR="00807D63" w:rsidRPr="00807D63" w:rsidRDefault="00807D63" w:rsidP="00807D63">
      <w:pPr>
        <w:widowControl/>
        <w:shd w:val="clear" w:color="auto" w:fill="FFFFFF"/>
        <w:spacing w:before="45" w:after="75" w:line="520" w:lineRule="atLeast"/>
        <w:ind w:firstLine="640"/>
        <w:jc w:val="left"/>
        <w:rPr>
          <w:rFonts w:ascii="微软雅黑" w:eastAsia="微软雅黑" w:hAnsi="微软雅黑" w:cs="宋体" w:hint="eastAsia"/>
          <w:color w:val="000000"/>
          <w:kern w:val="0"/>
          <w:szCs w:val="21"/>
        </w:rPr>
      </w:pPr>
      <w:r w:rsidRPr="00807D63">
        <w:rPr>
          <w:rFonts w:ascii="仿宋_GB2312" w:eastAsia="仿宋_GB2312" w:hAnsi="微软雅黑" w:cs="宋体" w:hint="eastAsia"/>
          <w:color w:val="000000"/>
          <w:kern w:val="0"/>
          <w:sz w:val="32"/>
          <w:szCs w:val="32"/>
        </w:rPr>
        <w:t>科研奖励根据学校预算实施。《常州大学重大项目与成果培育基金管理办法》中所指定的重大项目与成果的奖励力度保持不变。学校将制定相关技术职称的科研工作职责，在完成基本科研工作量的基础上进行奖励。本办法自2015年1月1日起执行，原《常州大学科研业绩考核与奖励办法》（</w:t>
      </w:r>
      <w:proofErr w:type="gramStart"/>
      <w:r w:rsidRPr="00807D63">
        <w:rPr>
          <w:rFonts w:ascii="仿宋_GB2312" w:eastAsia="仿宋_GB2312" w:hAnsi="微软雅黑" w:cs="宋体" w:hint="eastAsia"/>
          <w:color w:val="000000"/>
          <w:kern w:val="0"/>
          <w:sz w:val="32"/>
          <w:szCs w:val="32"/>
        </w:rPr>
        <w:t>常大〔2014〕</w:t>
      </w:r>
      <w:proofErr w:type="gramEnd"/>
      <w:r w:rsidRPr="00807D63">
        <w:rPr>
          <w:rFonts w:ascii="仿宋_GB2312" w:eastAsia="仿宋_GB2312" w:hAnsi="微软雅黑" w:cs="宋体" w:hint="eastAsia"/>
          <w:color w:val="000000"/>
          <w:kern w:val="0"/>
          <w:sz w:val="32"/>
          <w:szCs w:val="32"/>
        </w:rPr>
        <w:t>47号）自行终止。涉及学术不端行为按《常州大学学术道德规范实施办法（试行）》（</w:t>
      </w:r>
      <w:proofErr w:type="gramStart"/>
      <w:r w:rsidRPr="00807D63">
        <w:rPr>
          <w:rFonts w:ascii="仿宋_GB2312" w:eastAsia="仿宋_GB2312" w:hAnsi="微软雅黑" w:cs="宋体" w:hint="eastAsia"/>
          <w:color w:val="000000"/>
          <w:kern w:val="0"/>
          <w:sz w:val="32"/>
          <w:szCs w:val="32"/>
        </w:rPr>
        <w:t>常大〔2013〕</w:t>
      </w:r>
      <w:proofErr w:type="gramEnd"/>
      <w:r w:rsidRPr="00807D63">
        <w:rPr>
          <w:rFonts w:ascii="仿宋_GB2312" w:eastAsia="仿宋_GB2312" w:hAnsi="微软雅黑" w:cs="宋体" w:hint="eastAsia"/>
          <w:color w:val="000000"/>
          <w:kern w:val="0"/>
          <w:sz w:val="32"/>
          <w:szCs w:val="32"/>
        </w:rPr>
        <w:t>85号）执行。本办法由科技处、社科处、产学研处负责解释。</w:t>
      </w:r>
    </w:p>
    <w:p w:rsidR="00964047" w:rsidRPr="00807D63" w:rsidRDefault="00964047"/>
    <w:sectPr w:rsidR="00964047" w:rsidRPr="00807D63" w:rsidSect="009640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鼎大标宋简">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225E"/>
    <w:rsid w:val="0058225E"/>
    <w:rsid w:val="00807D63"/>
    <w:rsid w:val="0096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7D63"/>
    <w:rPr>
      <w:b/>
      <w:bCs/>
    </w:rPr>
  </w:style>
  <w:style w:type="paragraph" w:customStyle="1" w:styleId="listparagraph">
    <w:name w:val="listparagraph"/>
    <w:basedOn w:val="a"/>
    <w:rsid w:val="00807D6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china</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2015-06-08T00:55:00Z</dcterms:created>
  <dcterms:modified xsi:type="dcterms:W3CDTF">2015-06-08T00:56:00Z</dcterms:modified>
</cp:coreProperties>
</file>